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67B77A86" w:rsidR="000A2E48" w:rsidRPr="0088306F" w:rsidRDefault="00212C1D" w:rsidP="0088306F">
      <w:pPr>
        <w:ind w:left="104" w:right="615"/>
        <w:jc w:val="center"/>
        <w:rPr>
          <w:rFonts w:ascii="Arial" w:hAnsi="Arial" w:cs="Arial"/>
          <w:b/>
        </w:rPr>
      </w:pPr>
      <w:r w:rsidRPr="0088306F">
        <w:rPr>
          <w:rFonts w:ascii="Arial" w:hAnsi="Arial" w:cs="Arial"/>
          <w:b/>
        </w:rPr>
        <w:t xml:space="preserve">CONVOCATORIA </w:t>
      </w:r>
      <w:r w:rsidR="000A2E48" w:rsidRPr="0088306F">
        <w:rPr>
          <w:rFonts w:ascii="Arial" w:hAnsi="Arial" w:cs="Arial"/>
          <w:b/>
        </w:rPr>
        <w:t>OPD/CMD/SC</w:t>
      </w:r>
      <w:r w:rsidRPr="0088306F">
        <w:rPr>
          <w:rFonts w:ascii="Arial" w:hAnsi="Arial" w:cs="Arial"/>
          <w:b/>
        </w:rPr>
        <w:t>/</w:t>
      </w:r>
      <w:r w:rsidR="0088306F" w:rsidRPr="0088306F">
        <w:rPr>
          <w:rFonts w:ascii="Arial" w:hAnsi="Arial" w:cs="Arial"/>
          <w:b/>
        </w:rPr>
        <w:t>0</w:t>
      </w:r>
      <w:r w:rsidR="0078351A">
        <w:rPr>
          <w:rFonts w:ascii="Arial" w:hAnsi="Arial" w:cs="Arial"/>
          <w:b/>
        </w:rPr>
        <w:t>10</w:t>
      </w:r>
      <w:r w:rsidR="000A2E48" w:rsidRPr="0088306F">
        <w:rPr>
          <w:rFonts w:ascii="Arial" w:hAnsi="Arial" w:cs="Arial"/>
          <w:b/>
        </w:rPr>
        <w:t>/202</w:t>
      </w:r>
      <w:r w:rsidR="0088306F" w:rsidRPr="0088306F">
        <w:rPr>
          <w:rFonts w:ascii="Arial" w:hAnsi="Arial" w:cs="Arial"/>
          <w:b/>
        </w:rPr>
        <w:t>5</w:t>
      </w:r>
      <w:r w:rsidR="000A2E48" w:rsidRPr="0088306F">
        <w:rPr>
          <w:rFonts w:ascii="Arial" w:hAnsi="Arial" w:cs="Arial"/>
          <w:b/>
        </w:rPr>
        <w:t xml:space="preserve"> “</w:t>
      </w:r>
      <w:bookmarkStart w:id="0" w:name="_Hlk183780855"/>
      <w:r w:rsidR="00381D89" w:rsidRPr="0088306F">
        <w:rPr>
          <w:rFonts w:ascii="Arial" w:hAnsi="Arial" w:cs="Arial"/>
          <w:b/>
        </w:rPr>
        <w:t xml:space="preserve">ADQUISICIÓN </w:t>
      </w:r>
      <w:r w:rsidR="0088306F" w:rsidRPr="0088306F">
        <w:rPr>
          <w:rFonts w:ascii="Arial" w:hAnsi="Arial" w:cs="Arial"/>
          <w:b/>
          <w:bCs/>
        </w:rPr>
        <w:t>DE SEGURO DE VIDA PARA SERVIDORES PUBLICOS</w:t>
      </w:r>
      <w:r w:rsidR="0088306F" w:rsidRPr="0088306F">
        <w:rPr>
          <w:rFonts w:ascii="Arial" w:hAnsi="Arial" w:cs="Arial"/>
          <w:b/>
        </w:rPr>
        <w:t xml:space="preserve"> </w:t>
      </w:r>
      <w:bookmarkEnd w:id="0"/>
      <w:r w:rsidR="006102C4" w:rsidRPr="0088306F">
        <w:rPr>
          <w:rFonts w:ascii="Arial" w:hAnsi="Arial" w:cs="Arial"/>
          <w:b/>
        </w:rPr>
        <w:t>DEL CONSEJO</w:t>
      </w:r>
      <w:r w:rsidR="000A2E48" w:rsidRPr="0088306F">
        <w:rPr>
          <w:rFonts w:ascii="Arial" w:hAnsi="Arial" w:cs="Arial"/>
          <w:b/>
        </w:rPr>
        <w:t xml:space="preserve"> MUNICIPAL DEL DEPORTE (COMUDE) DE TLAJOMULCO DE ZÚÑIGA, JALISCO. (</w:t>
      </w:r>
      <w:r w:rsidR="00E60F20">
        <w:rPr>
          <w:rFonts w:ascii="Arial" w:hAnsi="Arial" w:cs="Arial"/>
          <w:b/>
        </w:rPr>
        <w:t>A</w:t>
      </w:r>
      <w:r w:rsidR="000A2E48" w:rsidRPr="0088306F">
        <w:rPr>
          <w:rFonts w:ascii="Arial" w:hAnsi="Arial" w:cs="Arial"/>
          <w:b/>
        </w:rPr>
        <w:t>CORTADA)</w:t>
      </w:r>
    </w:p>
    <w:p w14:paraId="0748EAFE" w14:textId="06A3F79E"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88306F">
        <w:rPr>
          <w:rFonts w:ascii="Arial" w:eastAsia="Times New Roman" w:hAnsi="Arial" w:cs="Arial"/>
          <w:kern w:val="0"/>
          <w:lang w:eastAsia="es-MX"/>
          <w14:ligatures w14:val="none"/>
        </w:rPr>
        <w:t>calle Constitución Oriente no. 157, Int. B, en el Municipio d</w:t>
      </w:r>
      <w:bookmarkStart w:id="2" w:name="_Hlk182046638"/>
      <w:r w:rsidRPr="0088306F">
        <w:rPr>
          <w:rFonts w:ascii="Arial" w:eastAsia="Times New Roman" w:hAnsi="Arial" w:cs="Arial"/>
          <w:kern w:val="0"/>
          <w:lang w:eastAsia="es-MX"/>
          <w14:ligatures w14:val="none"/>
        </w:rPr>
        <w:t>e Tlajomulco de Zúñiga, Jalisco</w:t>
      </w:r>
      <w:bookmarkEnd w:id="2"/>
      <w:r w:rsidRPr="0088306F">
        <w:rPr>
          <w:rFonts w:ascii="Arial" w:eastAsia="Times New Roman" w:hAnsi="Arial" w:cs="Arial"/>
          <w:kern w:val="0"/>
          <w:lang w:eastAsia="es-MX"/>
          <w14:ligatures w14:val="none"/>
        </w:rPr>
        <w:t xml:space="preserve">, </w:t>
      </w:r>
      <w:bookmarkEnd w:id="1"/>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463DE0F3"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035DED88"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Se adjudicará a</w:t>
            </w:r>
            <w:r w:rsidR="00063F8B">
              <w:rPr>
                <w:rFonts w:ascii="Arial" w:eastAsia="Calibri" w:hAnsi="Arial" w:cs="Arial"/>
                <w:b/>
                <w:lang w:eastAsia="es-ES"/>
              </w:rPr>
              <w:t xml:space="preserve"> un solo proveedor</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36FE3CA0" w:rsidR="00522C2D" w:rsidRPr="0088306F" w:rsidRDefault="006750F5" w:rsidP="00522C2D">
            <w:pPr>
              <w:jc w:val="both"/>
              <w:rPr>
                <w:rFonts w:ascii="Arial" w:eastAsia="Calibri" w:hAnsi="Arial" w:cs="Arial"/>
                <w:lang w:eastAsia="es-ES"/>
              </w:rPr>
            </w:pPr>
            <w:r w:rsidRPr="0088306F">
              <w:rPr>
                <w:rFonts w:ascii="Arial" w:eastAsia="Calibri" w:hAnsi="Arial" w:cs="Arial"/>
                <w:lang w:eastAsia="es-ES"/>
              </w:rPr>
              <w:t>1</w:t>
            </w:r>
            <w:r w:rsidR="006524B2">
              <w:rPr>
                <w:rFonts w:ascii="Arial" w:eastAsia="Calibri" w:hAnsi="Arial" w:cs="Arial"/>
                <w:lang w:eastAsia="es-ES"/>
              </w:rPr>
              <w:t>441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1A2B027F" w:rsidR="00522C2D" w:rsidRPr="0088306F" w:rsidRDefault="00E60F20" w:rsidP="00522C2D">
            <w:pPr>
              <w:spacing w:after="200" w:line="276" w:lineRule="auto"/>
              <w:jc w:val="both"/>
              <w:rPr>
                <w:rFonts w:ascii="Arial" w:eastAsia="Calibri" w:hAnsi="Arial" w:cs="Arial"/>
                <w:b/>
              </w:rPr>
            </w:pPr>
            <w:r>
              <w:rPr>
                <w:rFonts w:ascii="Arial" w:eastAsia="Calibri" w:hAnsi="Arial" w:cs="Arial"/>
                <w:color w:val="000000"/>
              </w:rPr>
              <w:t>0</w:t>
            </w:r>
            <w:r w:rsidR="00BD7FC6">
              <w:rPr>
                <w:rFonts w:ascii="Arial" w:eastAsia="Calibri" w:hAnsi="Arial" w:cs="Arial"/>
                <w:color w:val="000000"/>
              </w:rPr>
              <w:t>7</w:t>
            </w:r>
            <w:r w:rsidR="0078351A">
              <w:rPr>
                <w:rFonts w:ascii="Arial" w:eastAsia="Calibri" w:hAnsi="Arial" w:cs="Arial"/>
                <w:color w:val="000000"/>
              </w:rPr>
              <w:t xml:space="preserve"> de febrero </w:t>
            </w:r>
            <w:r w:rsidR="00522C2D" w:rsidRPr="0088306F">
              <w:rPr>
                <w:rFonts w:ascii="Arial" w:eastAsia="Calibri" w:hAnsi="Arial" w:cs="Arial"/>
                <w:color w:val="000000"/>
              </w:rPr>
              <w:t>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788318FC" w:rsidR="00522C2D" w:rsidRPr="0088306F" w:rsidRDefault="0078351A" w:rsidP="00522C2D">
            <w:pPr>
              <w:spacing w:after="200"/>
              <w:jc w:val="both"/>
              <w:rPr>
                <w:rFonts w:ascii="Arial" w:eastAsia="Calibri" w:hAnsi="Arial" w:cs="Arial"/>
                <w:color w:val="000000"/>
              </w:rPr>
            </w:pPr>
            <w:r>
              <w:rPr>
                <w:rFonts w:ascii="Arial" w:eastAsia="Calibri" w:hAnsi="Arial" w:cs="Arial"/>
                <w:color w:val="000000"/>
              </w:rPr>
              <w:t>1</w:t>
            </w:r>
            <w:r w:rsidR="00BD7FC6">
              <w:rPr>
                <w:rFonts w:ascii="Arial" w:eastAsia="Calibri" w:hAnsi="Arial" w:cs="Arial"/>
                <w:color w:val="000000"/>
              </w:rPr>
              <w:t>2</w:t>
            </w:r>
            <w:r w:rsidR="006750F5" w:rsidRPr="0088306F">
              <w:rPr>
                <w:rFonts w:ascii="Arial" w:eastAsia="Calibri" w:hAnsi="Arial" w:cs="Arial"/>
                <w:color w:val="000000"/>
              </w:rPr>
              <w:t xml:space="preserve"> de </w:t>
            </w:r>
            <w:r>
              <w:rPr>
                <w:rFonts w:ascii="Arial" w:eastAsia="Calibri" w:hAnsi="Arial" w:cs="Arial"/>
                <w:color w:val="000000"/>
              </w:rPr>
              <w:t>febrero</w:t>
            </w:r>
            <w:r w:rsidR="006750F5" w:rsidRPr="0088306F">
              <w:rPr>
                <w:rFonts w:ascii="Arial" w:eastAsia="Calibri" w:hAnsi="Arial" w:cs="Arial"/>
                <w:color w:val="000000"/>
              </w:rPr>
              <w:t xml:space="preserve">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541E52E9" w:rsidR="00522C2D" w:rsidRPr="0088306F" w:rsidRDefault="00E60F20" w:rsidP="00522C2D">
            <w:pPr>
              <w:spacing w:after="200"/>
              <w:jc w:val="both"/>
              <w:rPr>
                <w:rFonts w:ascii="Arial" w:eastAsia="Calibri" w:hAnsi="Arial" w:cs="Arial"/>
                <w:color w:val="000000"/>
              </w:rPr>
            </w:pPr>
            <w:r>
              <w:rPr>
                <w:rFonts w:ascii="Arial" w:eastAsia="Calibri" w:hAnsi="Arial" w:cs="Arial"/>
                <w:color w:val="000000"/>
              </w:rPr>
              <w:t>1</w:t>
            </w:r>
            <w:r w:rsidR="00BD7FC6">
              <w:rPr>
                <w:rFonts w:ascii="Arial" w:eastAsia="Calibri" w:hAnsi="Arial" w:cs="Arial"/>
                <w:color w:val="000000"/>
              </w:rPr>
              <w:t>2</w:t>
            </w:r>
            <w:r w:rsidR="00522C2D" w:rsidRPr="0088306F">
              <w:rPr>
                <w:rFonts w:ascii="Arial" w:eastAsia="Calibri" w:hAnsi="Arial" w:cs="Arial"/>
                <w:color w:val="000000"/>
              </w:rPr>
              <w:t xml:space="preserve"> de </w:t>
            </w:r>
            <w:r>
              <w:rPr>
                <w:rFonts w:ascii="Arial" w:eastAsia="Calibri" w:hAnsi="Arial" w:cs="Arial"/>
                <w:color w:val="000000"/>
              </w:rPr>
              <w:t>febrero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Pr="0088306F" w:rsidRDefault="00522C2D" w:rsidP="00522C2D">
      <w:pPr>
        <w:spacing w:after="0" w:line="240" w:lineRule="auto"/>
        <w:jc w:val="both"/>
        <w:rPr>
          <w:rFonts w:ascii="Arial" w:eastAsia="Times New Roman" w:hAnsi="Arial" w:cs="Arial"/>
          <w:b/>
          <w:kern w:val="0"/>
          <w:lang w:eastAsia="es-MX"/>
          <w14:ligatures w14:val="none"/>
        </w:rPr>
      </w:pPr>
    </w:p>
    <w:p w14:paraId="423496DD" w14:textId="77777777" w:rsidR="00E60F20" w:rsidRDefault="00E60F20" w:rsidP="00F825F3">
      <w:pPr>
        <w:spacing w:after="200" w:line="276" w:lineRule="auto"/>
        <w:jc w:val="center"/>
        <w:rPr>
          <w:rFonts w:ascii="Arial" w:eastAsia="Calibri" w:hAnsi="Arial" w:cs="Arial"/>
          <w:b/>
          <w:bCs/>
          <w:kern w:val="0"/>
          <w14:ligatures w14:val="none"/>
        </w:rPr>
      </w:pPr>
    </w:p>
    <w:p w14:paraId="0FECE3E8" w14:textId="4EEBAC0F" w:rsidR="00280B1D" w:rsidRDefault="00280B1D" w:rsidP="00F825F3">
      <w:pPr>
        <w:spacing w:after="200" w:line="276" w:lineRule="auto"/>
        <w:jc w:val="center"/>
        <w:rPr>
          <w:rFonts w:ascii="Arial" w:eastAsia="Calibri" w:hAnsi="Arial" w:cs="Arial"/>
          <w:b/>
          <w:bCs/>
          <w:kern w:val="0"/>
          <w14:ligatures w14:val="none"/>
        </w:rPr>
      </w:pPr>
      <w:r>
        <w:rPr>
          <w:rFonts w:ascii="Arial" w:eastAsia="Calibri" w:hAnsi="Arial" w:cs="Arial"/>
          <w:b/>
          <w:bCs/>
          <w:kern w:val="0"/>
          <w14:ligatures w14:val="none"/>
        </w:rPr>
        <w:lastRenderedPageBreak/>
        <w:t>ESPECIFICACIONES</w:t>
      </w:r>
    </w:p>
    <w:p w14:paraId="48DDF7B1" w14:textId="26464471" w:rsidR="00280B1D" w:rsidRDefault="00280B1D" w:rsidP="00280B1D">
      <w:pPr>
        <w:spacing w:after="200" w:line="276" w:lineRule="auto"/>
        <w:rPr>
          <w:rFonts w:ascii="Arial" w:eastAsia="Calibri" w:hAnsi="Arial" w:cs="Arial"/>
          <w:b/>
          <w:bCs/>
          <w:kern w:val="0"/>
          <w14:ligatures w14:val="none"/>
        </w:rPr>
      </w:pPr>
      <w:r>
        <w:rPr>
          <w:rFonts w:ascii="Arial" w:eastAsia="Calibri" w:hAnsi="Arial" w:cs="Arial"/>
          <w:b/>
          <w:bCs/>
          <w:kern w:val="0"/>
          <w14:ligatures w14:val="none"/>
        </w:rPr>
        <w:t>Objetivo:</w:t>
      </w:r>
    </w:p>
    <w:p w14:paraId="4CF53036" w14:textId="09C55E5E" w:rsidR="00280B1D" w:rsidRPr="007A2518" w:rsidRDefault="007A2518" w:rsidP="007A2518">
      <w:pPr>
        <w:spacing w:after="200" w:line="276" w:lineRule="auto"/>
        <w:rPr>
          <w:rFonts w:ascii="Arial" w:eastAsia="Calibri" w:hAnsi="Arial" w:cs="Arial"/>
          <w:kern w:val="0"/>
          <w14:ligatures w14:val="none"/>
        </w:rPr>
      </w:pPr>
      <w:r w:rsidRPr="007A2518">
        <w:rPr>
          <w:rFonts w:ascii="Arial" w:eastAsia="Calibri" w:hAnsi="Arial" w:cs="Arial"/>
          <w:kern w:val="0"/>
          <w14:ligatures w14:val="none"/>
        </w:rPr>
        <w:t>Contratación del servicio de seguro</w:t>
      </w:r>
      <w:r w:rsidR="00063F8B">
        <w:rPr>
          <w:rFonts w:ascii="Arial" w:eastAsia="Calibri" w:hAnsi="Arial" w:cs="Arial"/>
          <w:kern w:val="0"/>
          <w14:ligatures w14:val="none"/>
        </w:rPr>
        <w:t>s</w:t>
      </w:r>
      <w:r w:rsidRPr="007A2518">
        <w:rPr>
          <w:rFonts w:ascii="Arial" w:eastAsia="Calibri" w:hAnsi="Arial" w:cs="Arial"/>
          <w:kern w:val="0"/>
          <w14:ligatures w14:val="none"/>
        </w:rPr>
        <w:t xml:space="preserve"> de vida para el personal administrativo y operativo del </w:t>
      </w:r>
      <w:r w:rsidRPr="007A2518">
        <w:rPr>
          <w:rFonts w:ascii="Arial" w:eastAsia="Calibri" w:hAnsi="Arial" w:cs="Arial"/>
          <w:b/>
          <w:bCs/>
          <w:kern w:val="0"/>
          <w14:ligatures w14:val="none"/>
        </w:rPr>
        <w:t>Consejo Municipal del Deporte de Tlajomulco de Zúñiga, Jalisco.</w:t>
      </w:r>
      <w:r>
        <w:rPr>
          <w:rFonts w:ascii="Arial" w:eastAsia="Calibri" w:hAnsi="Arial" w:cs="Arial"/>
          <w:kern w:val="0"/>
          <w14:ligatures w14:val="none"/>
        </w:rPr>
        <w:t xml:space="preserve"> Consistente en lo siguiente:</w:t>
      </w:r>
      <w:r w:rsidRPr="007A2518">
        <w:rPr>
          <w:rFonts w:ascii="Arial" w:eastAsia="Calibri" w:hAnsi="Arial" w:cs="Arial"/>
          <w:kern w:val="0"/>
          <w14:ligatures w14:val="none"/>
        </w:rPr>
        <w:t xml:space="preserve"> </w:t>
      </w:r>
    </w:p>
    <w:p w14:paraId="7D689AC8" w14:textId="607A3FF9" w:rsidR="0088306F" w:rsidRPr="00280B1D" w:rsidRDefault="0088306F" w:rsidP="0088306F">
      <w:pPr>
        <w:spacing w:after="200" w:line="276" w:lineRule="auto"/>
        <w:jc w:val="both"/>
        <w:rPr>
          <w:rFonts w:ascii="Arial" w:eastAsia="Calibri" w:hAnsi="Arial" w:cs="Arial"/>
          <w:b/>
          <w:bCs/>
          <w:kern w:val="0"/>
          <w14:ligatures w14:val="none"/>
        </w:rPr>
      </w:pPr>
      <w:r w:rsidRPr="00280B1D">
        <w:rPr>
          <w:rFonts w:ascii="Arial" w:eastAsia="Calibri" w:hAnsi="Arial" w:cs="Arial"/>
          <w:b/>
          <w:bCs/>
          <w:kern w:val="0"/>
          <w14:ligatures w14:val="none"/>
        </w:rPr>
        <w:t>Vigencia</w:t>
      </w:r>
      <w:r w:rsidR="00280B1D">
        <w:rPr>
          <w:rFonts w:ascii="Arial" w:eastAsia="Calibri" w:hAnsi="Arial" w:cs="Arial"/>
          <w:b/>
          <w:bCs/>
          <w:kern w:val="0"/>
          <w14:ligatures w14:val="none"/>
        </w:rPr>
        <w:t>:</w:t>
      </w:r>
    </w:p>
    <w:p w14:paraId="2EA0020D" w14:textId="480F9C9D" w:rsidR="0088306F" w:rsidRPr="0088306F" w:rsidRDefault="0088306F" w:rsidP="009A0DCE">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 xml:space="preserve">La cobertura del seguro </w:t>
      </w:r>
      <w:r w:rsidR="00221D32">
        <w:rPr>
          <w:rFonts w:ascii="Arial" w:eastAsia="Calibri" w:hAnsi="Arial" w:cs="Arial"/>
          <w:kern w:val="0"/>
          <w14:ligatures w14:val="none"/>
        </w:rPr>
        <w:t xml:space="preserve">iniciara </w:t>
      </w:r>
      <w:r w:rsidRPr="0088306F">
        <w:rPr>
          <w:rFonts w:ascii="Arial" w:eastAsia="Calibri" w:hAnsi="Arial" w:cs="Arial"/>
          <w:kern w:val="0"/>
          <w14:ligatures w14:val="none"/>
        </w:rPr>
        <w:t>a partir de la</w:t>
      </w:r>
      <w:r w:rsidR="00280B1D">
        <w:rPr>
          <w:rFonts w:ascii="Arial" w:eastAsia="Calibri" w:hAnsi="Arial" w:cs="Arial"/>
          <w:kern w:val="0"/>
          <w14:ligatures w14:val="none"/>
        </w:rPr>
        <w:t xml:space="preserve"> </w:t>
      </w:r>
      <w:r w:rsidR="00221D32">
        <w:rPr>
          <w:rFonts w:ascii="Arial" w:eastAsia="Calibri" w:hAnsi="Arial" w:cs="Arial"/>
          <w:kern w:val="0"/>
          <w14:ligatures w14:val="none"/>
        </w:rPr>
        <w:t>firma del contrato y finalizando el día 31 de diciembre del 2025</w:t>
      </w:r>
      <w:r w:rsidRPr="0088306F">
        <w:rPr>
          <w:rFonts w:ascii="Arial" w:eastAsia="Calibri" w:hAnsi="Arial" w:cs="Arial"/>
          <w:kern w:val="0"/>
          <w14:ligatures w14:val="none"/>
        </w:rPr>
        <w:t>, por lo que los siniestros que se presenten a partir del inicio de la vigencia estarán cubiertos</w:t>
      </w:r>
      <w:r w:rsidR="009A0DCE">
        <w:rPr>
          <w:rFonts w:ascii="Arial" w:eastAsia="Calibri" w:hAnsi="Arial" w:cs="Arial"/>
          <w:kern w:val="0"/>
          <w14:ligatures w14:val="none"/>
        </w:rPr>
        <w:t>.</w:t>
      </w:r>
    </w:p>
    <w:p w14:paraId="58F24181" w14:textId="1C5FCA11"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Se tomará como empleado asegurado a todo ingreso de personal que se dé de alta en la nómina del COMUDE Tlajomulco durante la vigencia de la póliza hasta el día del vencimiento de la misma.</w:t>
      </w:r>
    </w:p>
    <w:p w14:paraId="70791509" w14:textId="1EB2A284"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 xml:space="preserve">El </w:t>
      </w:r>
      <w:r w:rsidRPr="00F825F3">
        <w:rPr>
          <w:rFonts w:ascii="Arial" w:eastAsia="Calibri" w:hAnsi="Arial" w:cs="Arial"/>
          <w:b/>
          <w:bCs/>
          <w:kern w:val="0"/>
          <w14:ligatures w14:val="none"/>
        </w:rPr>
        <w:t>“CONVOCANTE”</w:t>
      </w:r>
      <w:r w:rsidRPr="0088306F">
        <w:rPr>
          <w:rFonts w:ascii="Arial" w:eastAsia="Calibri" w:hAnsi="Arial" w:cs="Arial"/>
          <w:kern w:val="0"/>
          <w14:ligatures w14:val="none"/>
        </w:rPr>
        <w:t xml:space="preserve"> se reserva la decisión de solicitar prorrogar a un periodo mayor a la vigencia de la póliza a contratar.</w:t>
      </w:r>
    </w:p>
    <w:p w14:paraId="7028F85F" w14:textId="77777777" w:rsidR="0088306F" w:rsidRPr="0088306F" w:rsidRDefault="0088306F" w:rsidP="0088306F">
      <w:pPr>
        <w:spacing w:after="200" w:line="276" w:lineRule="auto"/>
        <w:jc w:val="both"/>
        <w:rPr>
          <w:rFonts w:ascii="Arial" w:eastAsia="Calibri" w:hAnsi="Arial" w:cs="Arial"/>
          <w:b/>
          <w:kern w:val="0"/>
          <w14:ligatures w14:val="none"/>
        </w:rPr>
      </w:pPr>
      <w:r w:rsidRPr="0088306F">
        <w:rPr>
          <w:rFonts w:ascii="Arial" w:eastAsia="Calibri" w:hAnsi="Arial" w:cs="Arial"/>
          <w:b/>
          <w:kern w:val="0"/>
          <w14:ligatures w14:val="none"/>
        </w:rPr>
        <w:t>Coberturas: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440"/>
        <w:gridCol w:w="3885"/>
      </w:tblGrid>
      <w:tr w:rsidR="0088306F" w:rsidRPr="0088306F" w14:paraId="4A2D861D" w14:textId="77777777" w:rsidTr="008B362D">
        <w:tc>
          <w:tcPr>
            <w:tcW w:w="2626" w:type="dxa"/>
            <w:shd w:val="clear" w:color="auto" w:fill="999999"/>
          </w:tcPr>
          <w:p w14:paraId="6ECD4953"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Coberturas</w:t>
            </w:r>
          </w:p>
        </w:tc>
        <w:tc>
          <w:tcPr>
            <w:tcW w:w="1440" w:type="dxa"/>
            <w:shd w:val="clear" w:color="auto" w:fill="999999"/>
          </w:tcPr>
          <w:p w14:paraId="5482D5E2"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Suma Asegurada</w:t>
            </w:r>
          </w:p>
        </w:tc>
        <w:tc>
          <w:tcPr>
            <w:tcW w:w="3885" w:type="dxa"/>
            <w:shd w:val="clear" w:color="auto" w:fill="999999"/>
          </w:tcPr>
          <w:p w14:paraId="3A542C1F"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Descripción</w:t>
            </w:r>
          </w:p>
        </w:tc>
      </w:tr>
      <w:tr w:rsidR="0088306F" w:rsidRPr="0088306F" w14:paraId="2A98F02B" w14:textId="77777777" w:rsidTr="008B362D">
        <w:tc>
          <w:tcPr>
            <w:tcW w:w="2626" w:type="dxa"/>
          </w:tcPr>
          <w:p w14:paraId="4F7EF31B"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Fallecimiento</w:t>
            </w:r>
          </w:p>
        </w:tc>
        <w:tc>
          <w:tcPr>
            <w:tcW w:w="1440" w:type="dxa"/>
          </w:tcPr>
          <w:p w14:paraId="54413437"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$150,000.00</w:t>
            </w:r>
          </w:p>
        </w:tc>
        <w:tc>
          <w:tcPr>
            <w:tcW w:w="3885" w:type="dxa"/>
          </w:tcPr>
          <w:p w14:paraId="647D00EA"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Personal Administrativo y Operativo</w:t>
            </w:r>
          </w:p>
        </w:tc>
      </w:tr>
    </w:tbl>
    <w:p w14:paraId="0CC98F29" w14:textId="77777777" w:rsidR="008B362D" w:rsidRDefault="008B362D" w:rsidP="0088306F">
      <w:pPr>
        <w:spacing w:after="200" w:line="276" w:lineRule="auto"/>
        <w:jc w:val="both"/>
        <w:rPr>
          <w:rFonts w:ascii="Arial" w:eastAsia="Calibri" w:hAnsi="Arial" w:cs="Arial"/>
          <w:kern w:val="0"/>
          <w14:ligatures w14:val="none"/>
        </w:rPr>
      </w:pPr>
    </w:p>
    <w:p w14:paraId="07CD5DC0" w14:textId="1F6455B6"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 xml:space="preserve">Para la vigencia se deberán de contemplar como asegurados iniciales: </w:t>
      </w:r>
      <w:r w:rsidR="00AE5948">
        <w:rPr>
          <w:rFonts w:ascii="Arial" w:eastAsia="Calibri" w:hAnsi="Arial" w:cs="Arial"/>
          <w:kern w:val="0"/>
          <w14:ligatures w14:val="none"/>
        </w:rPr>
        <w:t xml:space="preserve">48 </w:t>
      </w:r>
      <w:r w:rsidRPr="0088306F">
        <w:rPr>
          <w:rFonts w:ascii="Arial" w:eastAsia="Calibri" w:hAnsi="Arial" w:cs="Arial"/>
          <w:kern w:val="0"/>
          <w14:ligatures w14:val="none"/>
        </w:rPr>
        <w:t xml:space="preserve">asegurados aproximadamente, esta cantidad podrá aumentar o disminuir de acuerdo a las contrataciones que ejerza el </w:t>
      </w:r>
      <w:r w:rsidRPr="00F825F3">
        <w:rPr>
          <w:rFonts w:ascii="Arial" w:eastAsia="Calibri" w:hAnsi="Arial" w:cs="Arial"/>
          <w:b/>
          <w:bCs/>
          <w:kern w:val="0"/>
          <w14:ligatures w14:val="none"/>
        </w:rPr>
        <w:t>COMUDE</w:t>
      </w:r>
      <w:r w:rsidRPr="0088306F">
        <w:rPr>
          <w:rFonts w:ascii="Arial" w:eastAsia="Calibri" w:hAnsi="Arial" w:cs="Arial"/>
          <w:kern w:val="0"/>
          <w14:ligatures w14:val="none"/>
        </w:rPr>
        <w:t xml:space="preserve"> Tlajomulco.</w:t>
      </w:r>
    </w:p>
    <w:p w14:paraId="43428E63" w14:textId="5A7B45B4" w:rsidR="0088306F" w:rsidRPr="0088306F" w:rsidRDefault="0088306F" w:rsidP="0088306F">
      <w:pPr>
        <w:numPr>
          <w:ilvl w:val="0"/>
          <w:numId w:val="3"/>
        </w:numPr>
        <w:spacing w:after="200" w:line="276" w:lineRule="auto"/>
        <w:jc w:val="both"/>
        <w:rPr>
          <w:rFonts w:ascii="Arial" w:eastAsia="Calibri" w:hAnsi="Arial" w:cs="Arial"/>
          <w:kern w:val="0"/>
          <w14:ligatures w14:val="none"/>
        </w:rPr>
      </w:pPr>
      <w:r w:rsidRPr="0088306F">
        <w:rPr>
          <w:rFonts w:ascii="Arial" w:eastAsia="Calibri" w:hAnsi="Arial" w:cs="Arial"/>
          <w:bCs/>
          <w:kern w:val="0"/>
          <w14:ligatures w14:val="none"/>
        </w:rPr>
        <w:t xml:space="preserve">El </w:t>
      </w:r>
      <w:r w:rsidRPr="0088306F">
        <w:rPr>
          <w:rFonts w:ascii="Arial" w:eastAsia="Calibri" w:hAnsi="Arial" w:cs="Arial"/>
          <w:b/>
          <w:kern w:val="0"/>
          <w14:ligatures w14:val="none"/>
        </w:rPr>
        <w:t xml:space="preserve">“PROVEEDOR” </w:t>
      </w:r>
      <w:r w:rsidRPr="0088306F">
        <w:rPr>
          <w:rFonts w:ascii="Arial" w:eastAsia="Calibri" w:hAnsi="Arial" w:cs="Arial"/>
          <w:kern w:val="0"/>
          <w14:ligatures w14:val="none"/>
        </w:rPr>
        <w:t xml:space="preserve">hará válidos los formatos de designación de beneficiarios de la Compañía de Seguros que administra que obre en los expedientes del Área de Administración del </w:t>
      </w:r>
      <w:r w:rsidRPr="0088306F">
        <w:rPr>
          <w:rFonts w:ascii="Arial" w:eastAsia="Calibri" w:hAnsi="Arial" w:cs="Arial"/>
          <w:b/>
          <w:bCs/>
          <w:kern w:val="0"/>
          <w14:ligatures w14:val="none"/>
        </w:rPr>
        <w:t>“CONVOCANTE”</w:t>
      </w:r>
      <w:r w:rsidRPr="0088306F">
        <w:rPr>
          <w:rFonts w:ascii="Arial" w:eastAsia="Calibri" w:hAnsi="Arial" w:cs="Arial"/>
          <w:kern w:val="0"/>
          <w14:ligatures w14:val="none"/>
        </w:rPr>
        <w:t xml:space="preserve">, hasta en tanto se actualicen los beneficiarios con el formato que el </w:t>
      </w:r>
      <w:r w:rsidRPr="0088306F">
        <w:rPr>
          <w:rFonts w:ascii="Arial" w:eastAsia="Calibri" w:hAnsi="Arial" w:cs="Arial"/>
          <w:b/>
          <w:kern w:val="0"/>
          <w14:ligatures w14:val="none"/>
        </w:rPr>
        <w:t xml:space="preserve">“PROVEEDOR” </w:t>
      </w:r>
      <w:r w:rsidRPr="0088306F">
        <w:rPr>
          <w:rFonts w:ascii="Arial" w:eastAsia="Calibri" w:hAnsi="Arial" w:cs="Arial"/>
          <w:kern w:val="0"/>
          <w14:ligatures w14:val="none"/>
        </w:rPr>
        <w:t>designe.</w:t>
      </w:r>
    </w:p>
    <w:p w14:paraId="6B5D4859" w14:textId="77777777"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El grupo asegurable, serán todos los empleados activos y de tiempo completo del </w:t>
      </w:r>
      <w:r w:rsidRPr="0088306F">
        <w:rPr>
          <w:rFonts w:ascii="Arial" w:eastAsia="Calibri" w:hAnsi="Arial" w:cs="Arial"/>
          <w:b/>
          <w:bCs/>
          <w:kern w:val="0"/>
          <w14:ligatures w14:val="none"/>
        </w:rPr>
        <w:t>“CONVOCANTE”,</w:t>
      </w:r>
      <w:r w:rsidRPr="0088306F">
        <w:rPr>
          <w:rFonts w:ascii="Arial" w:eastAsia="Calibri" w:hAnsi="Arial" w:cs="Arial"/>
          <w:bCs/>
          <w:kern w:val="0"/>
          <w14:ligatures w14:val="none"/>
        </w:rPr>
        <w:t xml:space="preserve"> que no se encuentre de baja y que aparezcan registrados en la nómina del </w:t>
      </w:r>
      <w:r w:rsidRPr="0088306F">
        <w:rPr>
          <w:rFonts w:ascii="Arial" w:eastAsia="Calibri" w:hAnsi="Arial" w:cs="Arial"/>
          <w:b/>
          <w:bCs/>
          <w:kern w:val="0"/>
          <w14:ligatures w14:val="none"/>
        </w:rPr>
        <w:t>“CONVOCANTE”.</w:t>
      </w:r>
    </w:p>
    <w:p w14:paraId="74AD7D1C" w14:textId="77777777"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Se amparan los empleados con licencia médica con o sin goce de sueldo.</w:t>
      </w:r>
    </w:p>
    <w:p w14:paraId="20AFA84C" w14:textId="1A0B03C1"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La prima quedará garantizada por el Convocante, por lo que no será motivo de rechazo o condicionamiento el pago de siniestros aun por falta de pago de prima.</w:t>
      </w:r>
    </w:p>
    <w:p w14:paraId="0DD82994" w14:textId="77777777" w:rsidR="0088306F" w:rsidRPr="0088306F" w:rsidRDefault="0088306F" w:rsidP="0088306F">
      <w:pPr>
        <w:spacing w:after="200" w:line="276" w:lineRule="auto"/>
        <w:jc w:val="both"/>
        <w:rPr>
          <w:rFonts w:ascii="Arial" w:eastAsia="Calibri" w:hAnsi="Arial" w:cs="Arial"/>
          <w:b/>
          <w:bCs/>
          <w:kern w:val="0"/>
          <w14:ligatures w14:val="none"/>
        </w:rPr>
      </w:pPr>
      <w:r w:rsidRPr="0088306F">
        <w:rPr>
          <w:rFonts w:ascii="Arial" w:eastAsia="Calibri" w:hAnsi="Arial" w:cs="Arial"/>
          <w:b/>
          <w:bCs/>
          <w:kern w:val="0"/>
          <w14:ligatures w14:val="none"/>
        </w:rPr>
        <w:lastRenderedPageBreak/>
        <w:t>Expedición de Certificados:</w:t>
      </w:r>
    </w:p>
    <w:p w14:paraId="38BFCE8F" w14:textId="10C71B25"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El </w:t>
      </w:r>
      <w:r w:rsidRPr="0088306F">
        <w:rPr>
          <w:rFonts w:ascii="Arial" w:eastAsia="Calibri" w:hAnsi="Arial" w:cs="Arial"/>
          <w:b/>
          <w:bCs/>
          <w:kern w:val="0"/>
          <w14:ligatures w14:val="none"/>
        </w:rPr>
        <w:t>“PROVEEDOR”</w:t>
      </w:r>
      <w:r w:rsidRPr="0088306F">
        <w:rPr>
          <w:rFonts w:ascii="Arial" w:eastAsia="Calibri" w:hAnsi="Arial" w:cs="Arial"/>
          <w:bCs/>
          <w:kern w:val="0"/>
          <w14:ligatures w14:val="none"/>
        </w:rPr>
        <w:t xml:space="preserve"> se compromete a emitir los certificados de cada uno de los empleados que contiene el grupo asegurado y cuyo </w:t>
      </w:r>
      <w:r w:rsidRPr="0088306F">
        <w:rPr>
          <w:rFonts w:ascii="Arial" w:eastAsia="Calibri" w:hAnsi="Arial" w:cs="Arial"/>
          <w:b/>
          <w:bCs/>
          <w:kern w:val="0"/>
          <w14:ligatures w14:val="none"/>
        </w:rPr>
        <w:t xml:space="preserve">“ARCHIVO” </w:t>
      </w:r>
      <w:r w:rsidRPr="0088306F">
        <w:rPr>
          <w:rFonts w:ascii="Arial" w:eastAsia="Calibri" w:hAnsi="Arial" w:cs="Arial"/>
          <w:bCs/>
          <w:kern w:val="0"/>
          <w14:ligatures w14:val="none"/>
        </w:rPr>
        <w:t>será entregado por el</w:t>
      </w:r>
      <w:r w:rsidRPr="0088306F">
        <w:rPr>
          <w:rFonts w:ascii="Arial" w:eastAsia="Calibri" w:hAnsi="Arial" w:cs="Arial"/>
          <w:b/>
          <w:bCs/>
          <w:kern w:val="0"/>
          <w14:ligatures w14:val="none"/>
        </w:rPr>
        <w:t xml:space="preserve"> “CONVOCANTE”</w:t>
      </w:r>
      <w:r w:rsidRPr="0088306F">
        <w:rPr>
          <w:rFonts w:ascii="Arial" w:eastAsia="Calibri" w:hAnsi="Arial" w:cs="Arial"/>
          <w:bCs/>
          <w:kern w:val="0"/>
          <w14:ligatures w14:val="none"/>
        </w:rPr>
        <w:t xml:space="preserve"> a más tardar el </w:t>
      </w:r>
      <w:r w:rsidR="007A2518" w:rsidRPr="007A2518">
        <w:rPr>
          <w:rFonts w:ascii="Arial" w:eastAsia="Calibri" w:hAnsi="Arial" w:cs="Arial"/>
          <w:kern w:val="0"/>
          <w14:ligatures w14:val="none"/>
        </w:rPr>
        <w:t>día siguiente de día adjudicado</w:t>
      </w:r>
    </w:p>
    <w:p w14:paraId="31641BD7" w14:textId="6FFC0C2E"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En </w:t>
      </w:r>
      <w:r w:rsidRPr="0088306F">
        <w:rPr>
          <w:rFonts w:ascii="Arial" w:eastAsia="Calibri" w:hAnsi="Arial" w:cs="Arial"/>
          <w:b/>
          <w:bCs/>
          <w:kern w:val="0"/>
          <w14:ligatures w14:val="none"/>
        </w:rPr>
        <w:t xml:space="preserve">“PROVEEDOR” </w:t>
      </w:r>
      <w:r w:rsidRPr="0088306F">
        <w:rPr>
          <w:rFonts w:ascii="Arial" w:eastAsia="Calibri" w:hAnsi="Arial" w:cs="Arial"/>
          <w:bCs/>
          <w:kern w:val="0"/>
          <w14:ligatures w14:val="none"/>
        </w:rPr>
        <w:t xml:space="preserve">entregará firmado y sellado el original y primera copia de cada certificado al </w:t>
      </w:r>
      <w:r w:rsidRPr="0088306F">
        <w:rPr>
          <w:rFonts w:ascii="Arial" w:eastAsia="Calibri" w:hAnsi="Arial" w:cs="Arial"/>
          <w:b/>
          <w:bCs/>
          <w:kern w:val="0"/>
          <w14:ligatures w14:val="none"/>
        </w:rPr>
        <w:t>“CONVOCANTE</w:t>
      </w:r>
      <w:proofErr w:type="gramStart"/>
      <w:r w:rsidRPr="0088306F">
        <w:rPr>
          <w:rFonts w:ascii="Arial" w:eastAsia="Calibri" w:hAnsi="Arial" w:cs="Arial"/>
          <w:b/>
          <w:bCs/>
          <w:kern w:val="0"/>
          <w14:ligatures w14:val="none"/>
        </w:rPr>
        <w:t>”</w:t>
      </w:r>
      <w:r w:rsidRPr="0088306F">
        <w:rPr>
          <w:rFonts w:ascii="Arial" w:eastAsia="Calibri" w:hAnsi="Arial" w:cs="Arial"/>
          <w:bCs/>
          <w:kern w:val="0"/>
          <w14:ligatures w14:val="none"/>
        </w:rPr>
        <w:t xml:space="preserve"> ,</w:t>
      </w:r>
      <w:proofErr w:type="gramEnd"/>
      <w:r w:rsidRPr="0088306F">
        <w:rPr>
          <w:rFonts w:ascii="Arial" w:eastAsia="Calibri" w:hAnsi="Arial" w:cs="Arial"/>
          <w:bCs/>
          <w:kern w:val="0"/>
          <w14:ligatures w14:val="none"/>
        </w:rPr>
        <w:t xml:space="preserve"> el cual entregará: por área de adscripción y orden alfabético misma que le señalará la convocante al entregarle el “Archivo”.</w:t>
      </w:r>
    </w:p>
    <w:p w14:paraId="688CE36A" w14:textId="77777777"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El certificado deberá de especificar las sumas aseguradas y las coberturas de estas.</w:t>
      </w:r>
    </w:p>
    <w:p w14:paraId="7FFD5151" w14:textId="77777777" w:rsidR="0088306F" w:rsidRPr="0088306F" w:rsidRDefault="0088306F" w:rsidP="0088306F">
      <w:pPr>
        <w:spacing w:after="200" w:line="276" w:lineRule="auto"/>
        <w:jc w:val="both"/>
        <w:rPr>
          <w:rFonts w:ascii="Arial" w:eastAsia="Calibri" w:hAnsi="Arial" w:cs="Arial"/>
          <w:b/>
          <w:bCs/>
          <w:kern w:val="0"/>
          <w14:ligatures w14:val="none"/>
        </w:rPr>
      </w:pPr>
      <w:r w:rsidRPr="0088306F">
        <w:rPr>
          <w:rFonts w:ascii="Arial" w:eastAsia="Calibri" w:hAnsi="Arial" w:cs="Arial"/>
          <w:b/>
          <w:bCs/>
          <w:kern w:val="0"/>
          <w14:ligatures w14:val="none"/>
        </w:rPr>
        <w:t>Tramites de Siniestro:</w:t>
      </w:r>
    </w:p>
    <w:p w14:paraId="34257B46" w14:textId="77777777" w:rsidR="0088306F" w:rsidRPr="0088306F" w:rsidRDefault="0088306F" w:rsidP="0088306F">
      <w:pPr>
        <w:numPr>
          <w:ilvl w:val="0"/>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Inmediatamente al conocer del fallecimiento de algún asegurado el </w:t>
      </w:r>
      <w:r w:rsidRPr="0088306F">
        <w:rPr>
          <w:rFonts w:ascii="Arial" w:eastAsia="Calibri" w:hAnsi="Arial" w:cs="Arial"/>
          <w:b/>
          <w:bCs/>
          <w:kern w:val="0"/>
          <w14:ligatures w14:val="none"/>
        </w:rPr>
        <w:t>“CONVOCANTE”</w:t>
      </w:r>
      <w:r w:rsidRPr="0088306F">
        <w:rPr>
          <w:rFonts w:ascii="Arial" w:eastAsia="Calibri" w:hAnsi="Arial" w:cs="Arial"/>
          <w:bCs/>
          <w:kern w:val="0"/>
          <w14:ligatures w14:val="none"/>
        </w:rPr>
        <w:t xml:space="preserve"> dará aviso a la compañía, proporcionando, según el caso los siguientes documentos o equivalentes:</w:t>
      </w:r>
    </w:p>
    <w:p w14:paraId="1CF7072C"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Acta de Defunción en original.</w:t>
      </w:r>
    </w:p>
    <w:p w14:paraId="4BDAD530"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Certificado Individual de Seguro en original.</w:t>
      </w:r>
    </w:p>
    <w:p w14:paraId="253160BD"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Acta de nacimiento en original.</w:t>
      </w:r>
    </w:p>
    <w:p w14:paraId="72590561"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Alta ante el IMSS copia.</w:t>
      </w:r>
    </w:p>
    <w:p w14:paraId="5C304875"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Recibo de nómina del último salario devengado copia.</w:t>
      </w:r>
    </w:p>
    <w:p w14:paraId="435891D6"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Copia de identificación oficial</w:t>
      </w:r>
    </w:p>
    <w:p w14:paraId="37DF96B5"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Copia certificada del acta del ministerio público, cuando el fallecimiento sea por accidente.</w:t>
      </w:r>
    </w:p>
    <w:p w14:paraId="17A58109" w14:textId="77777777" w:rsidR="0088306F" w:rsidRPr="0088306F" w:rsidRDefault="0088306F" w:rsidP="0088306F">
      <w:p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El licitante no podrá solicitar ningún documento adicional de los antes señalados.</w:t>
      </w:r>
    </w:p>
    <w:p w14:paraId="091AC972" w14:textId="5EFD2AF8" w:rsidR="0088306F" w:rsidRPr="0088306F" w:rsidRDefault="0088306F" w:rsidP="0088306F">
      <w:pPr>
        <w:numPr>
          <w:ilvl w:val="0"/>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Cuando el </w:t>
      </w:r>
      <w:r w:rsidRPr="0088306F">
        <w:rPr>
          <w:rFonts w:ascii="Arial" w:eastAsia="Calibri" w:hAnsi="Arial" w:cs="Arial"/>
          <w:b/>
          <w:bCs/>
          <w:kern w:val="0"/>
          <w14:ligatures w14:val="none"/>
        </w:rPr>
        <w:t>“CONVOCANTE”</w:t>
      </w:r>
      <w:r w:rsidRPr="0088306F">
        <w:rPr>
          <w:rFonts w:ascii="Arial" w:eastAsia="Calibri" w:hAnsi="Arial" w:cs="Arial"/>
          <w:bCs/>
          <w:kern w:val="0"/>
          <w14:ligatures w14:val="none"/>
        </w:rPr>
        <w:t xml:space="preserve"> haya entregado el expediente completo para el cobro de cualquier siniestro, el </w:t>
      </w:r>
      <w:r w:rsidRPr="0088306F">
        <w:rPr>
          <w:rFonts w:ascii="Arial" w:eastAsia="Calibri" w:hAnsi="Arial" w:cs="Arial"/>
          <w:b/>
          <w:kern w:val="0"/>
          <w14:ligatures w14:val="none"/>
        </w:rPr>
        <w:t>“PROVEEDOR”</w:t>
      </w:r>
      <w:r w:rsidRPr="0088306F">
        <w:rPr>
          <w:rFonts w:ascii="Arial" w:eastAsia="Calibri" w:hAnsi="Arial" w:cs="Arial"/>
          <w:kern w:val="0"/>
          <w14:ligatures w14:val="none"/>
        </w:rPr>
        <w:t xml:space="preserve"> </w:t>
      </w:r>
      <w:r w:rsidRPr="0088306F">
        <w:rPr>
          <w:rFonts w:ascii="Arial" w:eastAsia="Calibri" w:hAnsi="Arial" w:cs="Arial"/>
          <w:bCs/>
          <w:kern w:val="0"/>
          <w14:ligatures w14:val="none"/>
        </w:rPr>
        <w:t>se obliga que para el pago de siniestros únicamente se tendrán 3 días naturales para la revisión de los documentos una vez transcurrido dicho tiempo no podrán solicitar más documentos y tendrán un total de 10 días naturales para el pago del siniestro.</w:t>
      </w:r>
    </w:p>
    <w:p w14:paraId="7EB9EBFD" w14:textId="2D51DDB4" w:rsidR="007A2518" w:rsidRPr="00634494" w:rsidRDefault="0088306F" w:rsidP="006102C4">
      <w:pPr>
        <w:numPr>
          <w:ilvl w:val="0"/>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En caso de que el asegurado no haya realizado la firma del consentimiento de seguro con la designación de beneficiarios, se pagara con una carta por parte del área de Administración del COMUDE donde se indiquen los beneficiarios.</w:t>
      </w:r>
    </w:p>
    <w:p w14:paraId="24909A97" w14:textId="77777777" w:rsidR="007A2518" w:rsidRDefault="007A2518" w:rsidP="006102C4">
      <w:pPr>
        <w:spacing w:after="200" w:line="276" w:lineRule="auto"/>
        <w:jc w:val="both"/>
        <w:rPr>
          <w:rFonts w:ascii="Arial" w:eastAsia="Calibri" w:hAnsi="Arial" w:cs="Arial"/>
          <w:kern w:val="0"/>
          <w14:ligatures w14:val="none"/>
        </w:rPr>
      </w:pPr>
    </w:p>
    <w:p w14:paraId="1847DB81" w14:textId="77777777" w:rsidR="007A2518" w:rsidRDefault="007A2518" w:rsidP="006102C4">
      <w:pPr>
        <w:spacing w:after="200" w:line="276" w:lineRule="auto"/>
        <w:jc w:val="both"/>
        <w:rPr>
          <w:rFonts w:ascii="Arial" w:eastAsia="Calibri" w:hAnsi="Arial" w:cs="Arial"/>
          <w:kern w:val="0"/>
          <w14:ligatures w14:val="none"/>
        </w:rPr>
      </w:pPr>
    </w:p>
    <w:p w14:paraId="45000203" w14:textId="77777777" w:rsidR="007A2518" w:rsidRDefault="007A2518" w:rsidP="006102C4">
      <w:pPr>
        <w:spacing w:after="200" w:line="276" w:lineRule="auto"/>
        <w:jc w:val="both"/>
        <w:rPr>
          <w:rFonts w:ascii="Arial" w:eastAsia="Calibri" w:hAnsi="Arial" w:cs="Arial"/>
          <w:kern w:val="0"/>
          <w14:ligatures w14:val="none"/>
        </w:rPr>
      </w:pPr>
    </w:p>
    <w:p w14:paraId="1313BDCB" w14:textId="0F63CF0A" w:rsidR="007A2518" w:rsidRPr="007A2518" w:rsidRDefault="007A2518" w:rsidP="007A2518">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lastRenderedPageBreak/>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347D0CC4" w14:textId="04647085" w:rsidR="00522C2D" w:rsidRDefault="00522C2D" w:rsidP="00522C2D">
      <w:pPr>
        <w:spacing w:after="0" w:line="240" w:lineRule="auto"/>
        <w:rPr>
          <w:rFonts w:ascii="Arial" w:eastAsia="Times New Roman" w:hAnsi="Arial" w:cs="Arial"/>
          <w:kern w:val="0"/>
          <w:lang w:eastAsia="es-MX"/>
          <w14:ligatures w14:val="none"/>
        </w:rPr>
      </w:pPr>
    </w:p>
    <w:p w14:paraId="799F9196" w14:textId="77777777" w:rsidR="00564042" w:rsidRPr="0088306F" w:rsidRDefault="00564042"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05095888" w14:textId="11B01011" w:rsidR="00522C2D" w:rsidRPr="008F396B" w:rsidRDefault="00522C2D" w:rsidP="008F396B">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sectPr w:rsidR="00522C2D" w:rsidRPr="008F396B"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B8FF" w14:textId="77777777" w:rsidR="005345E2" w:rsidRDefault="005345E2">
      <w:pPr>
        <w:spacing w:after="0" w:line="240" w:lineRule="auto"/>
      </w:pPr>
      <w:r>
        <w:separator/>
      </w:r>
    </w:p>
  </w:endnote>
  <w:endnote w:type="continuationSeparator" w:id="0">
    <w:p w14:paraId="3BEFA867" w14:textId="77777777" w:rsidR="005345E2" w:rsidRDefault="0053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10E7" w14:textId="77777777" w:rsidR="00FA35E2" w:rsidRDefault="00FA35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213C655A"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AD99" w14:textId="77777777" w:rsidR="00FA35E2" w:rsidRDefault="00FA35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1A66" w14:textId="77777777" w:rsidR="005345E2" w:rsidRDefault="005345E2">
      <w:pPr>
        <w:spacing w:after="0" w:line="240" w:lineRule="auto"/>
      </w:pPr>
      <w:r>
        <w:separator/>
      </w:r>
    </w:p>
  </w:footnote>
  <w:footnote w:type="continuationSeparator" w:id="0">
    <w:p w14:paraId="7C06178B" w14:textId="77777777" w:rsidR="005345E2" w:rsidRDefault="0053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DCC2" w14:textId="77777777" w:rsidR="00FA35E2" w:rsidRDefault="00FA35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A8C938"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0963" w14:textId="77777777" w:rsidR="00FA35E2" w:rsidRDefault="00FA3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63F8B"/>
    <w:rsid w:val="000A2E48"/>
    <w:rsid w:val="000B4B7B"/>
    <w:rsid w:val="001D2DF3"/>
    <w:rsid w:val="00201845"/>
    <w:rsid w:val="00205FBF"/>
    <w:rsid w:val="00212C1D"/>
    <w:rsid w:val="00221D32"/>
    <w:rsid w:val="002225AE"/>
    <w:rsid w:val="00253F6D"/>
    <w:rsid w:val="002744AB"/>
    <w:rsid w:val="00280B1D"/>
    <w:rsid w:val="002E0C22"/>
    <w:rsid w:val="00327342"/>
    <w:rsid w:val="00381D89"/>
    <w:rsid w:val="00387C65"/>
    <w:rsid w:val="003937BC"/>
    <w:rsid w:val="003A5BFD"/>
    <w:rsid w:val="003E4EC4"/>
    <w:rsid w:val="00445078"/>
    <w:rsid w:val="00493785"/>
    <w:rsid w:val="00503180"/>
    <w:rsid w:val="00521C37"/>
    <w:rsid w:val="00522C2D"/>
    <w:rsid w:val="005345E2"/>
    <w:rsid w:val="00564042"/>
    <w:rsid w:val="00587199"/>
    <w:rsid w:val="005C16A8"/>
    <w:rsid w:val="0060503C"/>
    <w:rsid w:val="006102C4"/>
    <w:rsid w:val="0061062B"/>
    <w:rsid w:val="00634494"/>
    <w:rsid w:val="0063698D"/>
    <w:rsid w:val="006524B2"/>
    <w:rsid w:val="006750F5"/>
    <w:rsid w:val="00677E79"/>
    <w:rsid w:val="006D2D77"/>
    <w:rsid w:val="007060D6"/>
    <w:rsid w:val="0078351A"/>
    <w:rsid w:val="0079495D"/>
    <w:rsid w:val="007A2518"/>
    <w:rsid w:val="007B29B4"/>
    <w:rsid w:val="007D4F87"/>
    <w:rsid w:val="007D51EB"/>
    <w:rsid w:val="008015B9"/>
    <w:rsid w:val="008422D7"/>
    <w:rsid w:val="0086358D"/>
    <w:rsid w:val="0086423B"/>
    <w:rsid w:val="0088306F"/>
    <w:rsid w:val="008B362D"/>
    <w:rsid w:val="008F396B"/>
    <w:rsid w:val="0093195C"/>
    <w:rsid w:val="009729CE"/>
    <w:rsid w:val="009A0DCE"/>
    <w:rsid w:val="009B0959"/>
    <w:rsid w:val="009C6882"/>
    <w:rsid w:val="00A0559A"/>
    <w:rsid w:val="00AA6861"/>
    <w:rsid w:val="00AE5948"/>
    <w:rsid w:val="00B018D4"/>
    <w:rsid w:val="00B5326E"/>
    <w:rsid w:val="00B92E1F"/>
    <w:rsid w:val="00BA7E55"/>
    <w:rsid w:val="00BC09C1"/>
    <w:rsid w:val="00BD7FC6"/>
    <w:rsid w:val="00C43475"/>
    <w:rsid w:val="00C926D4"/>
    <w:rsid w:val="00CC48A2"/>
    <w:rsid w:val="00D564B9"/>
    <w:rsid w:val="00D9214C"/>
    <w:rsid w:val="00E60F20"/>
    <w:rsid w:val="00EA30B3"/>
    <w:rsid w:val="00F20727"/>
    <w:rsid w:val="00F30FB9"/>
    <w:rsid w:val="00F825F3"/>
    <w:rsid w:val="00FA35E2"/>
    <w:rsid w:val="00FB65EC"/>
    <w:rsid w:val="00FC41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16</cp:revision>
  <cp:lastPrinted>2025-02-07T22:28:00Z</cp:lastPrinted>
  <dcterms:created xsi:type="dcterms:W3CDTF">2025-01-08T17:08:00Z</dcterms:created>
  <dcterms:modified xsi:type="dcterms:W3CDTF">2025-02-07T22:40:00Z</dcterms:modified>
</cp:coreProperties>
</file>